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84" w:rsidRPr="00A30D4C" w:rsidRDefault="00B67F84" w:rsidP="00C544BA">
      <w:pPr>
        <w:rPr>
          <w:sz w:val="20"/>
        </w:rPr>
      </w:pPr>
      <w:bookmarkStart w:id="0" w:name="_GoBack"/>
      <w:bookmarkEnd w:id="0"/>
      <w:r w:rsidRPr="00A30D4C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-140335</wp:posOffset>
            </wp:positionV>
            <wp:extent cx="1906270" cy="952500"/>
            <wp:effectExtent l="19050" t="0" r="0" b="0"/>
            <wp:wrapTopAndBottom/>
            <wp:docPr id="1" name="Image 1" descr="::logo_BMP:logo_BDF_couleu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_BMP:logo_BDF_couleu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F84" w:rsidRPr="00A30D4C" w:rsidRDefault="00B67F84" w:rsidP="00C544BA">
      <w:pPr>
        <w:rPr>
          <w:sz w:val="20"/>
        </w:rPr>
      </w:pPr>
    </w:p>
    <w:p w:rsidR="008D279B" w:rsidRPr="00A30D4C" w:rsidRDefault="008D279B" w:rsidP="00C544BA">
      <w:pPr>
        <w:rPr>
          <w:sz w:val="20"/>
        </w:rPr>
      </w:pPr>
    </w:p>
    <w:p w:rsidR="00C93D0E" w:rsidRPr="00A30D4C" w:rsidRDefault="00C93D0E" w:rsidP="00C544BA">
      <w:pPr>
        <w:rPr>
          <w:sz w:val="20"/>
        </w:rPr>
      </w:pPr>
    </w:p>
    <w:p w:rsidR="00DE079C" w:rsidRPr="0020276A" w:rsidRDefault="00AE1112" w:rsidP="0020276A">
      <w:pPr>
        <w:jc w:val="center"/>
        <w:rPr>
          <w:b/>
          <w:sz w:val="28"/>
          <w:szCs w:val="28"/>
          <w:lang w:val="en-US"/>
        </w:rPr>
      </w:pPr>
      <w:r w:rsidRPr="0020276A">
        <w:rPr>
          <w:b/>
          <w:sz w:val="28"/>
          <w:szCs w:val="28"/>
          <w:lang w:val="en-US"/>
        </w:rPr>
        <w:t>Targeted Long Term Financing Operation (TLTRO)</w:t>
      </w:r>
    </w:p>
    <w:p w:rsidR="00DE079C" w:rsidRPr="0020276A" w:rsidRDefault="00AE1112" w:rsidP="0020276A">
      <w:pPr>
        <w:jc w:val="center"/>
        <w:rPr>
          <w:b/>
          <w:sz w:val="28"/>
          <w:szCs w:val="28"/>
          <w:lang w:val="en-US"/>
        </w:rPr>
      </w:pPr>
      <w:r w:rsidRPr="0020276A">
        <w:rPr>
          <w:b/>
          <w:sz w:val="28"/>
          <w:szCs w:val="28"/>
          <w:lang w:val="en-US"/>
        </w:rPr>
        <w:t xml:space="preserve"> </w:t>
      </w:r>
    </w:p>
    <w:p w:rsidR="008D279B" w:rsidRPr="00A30D4C" w:rsidRDefault="00DE079C" w:rsidP="0020276A">
      <w:pPr>
        <w:jc w:val="center"/>
        <w:rPr>
          <w:sz w:val="20"/>
        </w:rPr>
      </w:pPr>
      <w:r w:rsidRPr="0020276A">
        <w:rPr>
          <w:sz w:val="24"/>
          <w:szCs w:val="24"/>
        </w:rPr>
        <w:t>M</w:t>
      </w:r>
      <w:r w:rsidR="00AE1112" w:rsidRPr="0020276A">
        <w:rPr>
          <w:sz w:val="24"/>
          <w:szCs w:val="24"/>
        </w:rPr>
        <w:t xml:space="preserve">odalités </w:t>
      </w:r>
      <w:r w:rsidRPr="0020276A">
        <w:rPr>
          <w:sz w:val="24"/>
          <w:szCs w:val="24"/>
        </w:rPr>
        <w:t xml:space="preserve">techniques </w:t>
      </w:r>
      <w:r w:rsidR="00AE1112" w:rsidRPr="0020276A">
        <w:rPr>
          <w:sz w:val="24"/>
          <w:szCs w:val="24"/>
        </w:rPr>
        <w:t xml:space="preserve">de communication </w:t>
      </w:r>
      <w:r w:rsidRPr="0020276A">
        <w:rPr>
          <w:sz w:val="24"/>
          <w:szCs w:val="24"/>
        </w:rPr>
        <w:t xml:space="preserve">du reporting statistique entre les établissements de crédit et </w:t>
      </w:r>
      <w:r w:rsidR="00AE1112" w:rsidRPr="0020276A">
        <w:rPr>
          <w:sz w:val="24"/>
          <w:szCs w:val="24"/>
        </w:rPr>
        <w:t>la Banque de France</w:t>
      </w:r>
    </w:p>
    <w:p w:rsidR="00C04D19" w:rsidRPr="00A30D4C" w:rsidRDefault="00C04D19" w:rsidP="00C544BA">
      <w:pPr>
        <w:rPr>
          <w:sz w:val="20"/>
        </w:rPr>
      </w:pPr>
    </w:p>
    <w:p w:rsidR="00DE079C" w:rsidRDefault="00DE079C" w:rsidP="00C544BA">
      <w:pPr>
        <w:rPr>
          <w:sz w:val="20"/>
        </w:rPr>
      </w:pPr>
    </w:p>
    <w:p w:rsidR="00C93D0E" w:rsidRPr="00A30D4C" w:rsidRDefault="00C93D0E" w:rsidP="00C544BA">
      <w:pPr>
        <w:rPr>
          <w:sz w:val="20"/>
        </w:rPr>
      </w:pPr>
    </w:p>
    <w:p w:rsidR="003D36DB" w:rsidRDefault="00DE079C" w:rsidP="00C544BA">
      <w:pPr>
        <w:rPr>
          <w:sz w:val="20"/>
        </w:rPr>
      </w:pPr>
      <w:r>
        <w:rPr>
          <w:sz w:val="20"/>
        </w:rPr>
        <w:t>L</w:t>
      </w:r>
      <w:r w:rsidR="00AE1112" w:rsidRPr="00A30D4C">
        <w:rPr>
          <w:sz w:val="20"/>
        </w:rPr>
        <w:t>e</w:t>
      </w:r>
      <w:r>
        <w:rPr>
          <w:sz w:val="20"/>
        </w:rPr>
        <w:t xml:space="preserve"> </w:t>
      </w:r>
      <w:proofErr w:type="spellStart"/>
      <w:r>
        <w:rPr>
          <w:sz w:val="20"/>
        </w:rPr>
        <w:t>reporting</w:t>
      </w:r>
      <w:proofErr w:type="spellEnd"/>
      <w:r>
        <w:rPr>
          <w:sz w:val="20"/>
        </w:rPr>
        <w:t xml:space="preserve"> statistique ainsi que tout</w:t>
      </w:r>
      <w:r w:rsidR="003D36DB">
        <w:rPr>
          <w:sz w:val="20"/>
        </w:rPr>
        <w:t xml:space="preserve">e </w:t>
      </w:r>
      <w:r w:rsidR="00AE1112" w:rsidRPr="00A30D4C">
        <w:rPr>
          <w:sz w:val="20"/>
        </w:rPr>
        <w:t xml:space="preserve">information </w:t>
      </w:r>
      <w:r w:rsidR="003D36DB">
        <w:rPr>
          <w:sz w:val="20"/>
        </w:rPr>
        <w:t>afférente prévu</w:t>
      </w:r>
      <w:r w:rsidR="00303B45">
        <w:rPr>
          <w:sz w:val="20"/>
        </w:rPr>
        <w:t>e</w:t>
      </w:r>
      <w:r w:rsidR="003D36DB">
        <w:rPr>
          <w:sz w:val="20"/>
        </w:rPr>
        <w:t xml:space="preserve"> </w:t>
      </w:r>
      <w:r w:rsidR="00AE1112" w:rsidRPr="00A30D4C">
        <w:rPr>
          <w:sz w:val="20"/>
        </w:rPr>
        <w:t>dans le cadre du TLTRO</w:t>
      </w:r>
      <w:r w:rsidR="003D36DB">
        <w:rPr>
          <w:sz w:val="20"/>
        </w:rPr>
        <w:t xml:space="preserve"> devr</w:t>
      </w:r>
      <w:r w:rsidR="00220985">
        <w:rPr>
          <w:sz w:val="20"/>
        </w:rPr>
        <w:t>ont</w:t>
      </w:r>
      <w:r w:rsidR="003D36DB">
        <w:rPr>
          <w:sz w:val="20"/>
        </w:rPr>
        <w:t xml:space="preserve"> être transmis au </w:t>
      </w:r>
      <w:r w:rsidR="00B67F84" w:rsidRPr="00A30D4C">
        <w:rPr>
          <w:sz w:val="20"/>
        </w:rPr>
        <w:t xml:space="preserve">Service des Statistiques </w:t>
      </w:r>
      <w:r w:rsidR="00AE1112" w:rsidRPr="00A30D4C">
        <w:rPr>
          <w:sz w:val="20"/>
        </w:rPr>
        <w:t xml:space="preserve">Européennes </w:t>
      </w:r>
      <w:r w:rsidR="00B67F84" w:rsidRPr="00A30D4C">
        <w:rPr>
          <w:sz w:val="20"/>
        </w:rPr>
        <w:t>de la</w:t>
      </w:r>
      <w:r w:rsidR="00C93D0E" w:rsidRPr="00A30D4C">
        <w:rPr>
          <w:sz w:val="20"/>
        </w:rPr>
        <w:t xml:space="preserve"> Banque de France </w:t>
      </w:r>
      <w:r w:rsidR="00AE1112" w:rsidRPr="00A30D4C">
        <w:rPr>
          <w:sz w:val="20"/>
        </w:rPr>
        <w:t xml:space="preserve">par </w:t>
      </w:r>
      <w:r w:rsidR="00AE1112" w:rsidRPr="00384D4A">
        <w:rPr>
          <w:b/>
          <w:sz w:val="20"/>
        </w:rPr>
        <w:t>courriel</w:t>
      </w:r>
      <w:r w:rsidR="00AE1112" w:rsidRPr="00A30D4C">
        <w:rPr>
          <w:sz w:val="20"/>
        </w:rPr>
        <w:t xml:space="preserve"> </w:t>
      </w:r>
      <w:r w:rsidR="003D36DB">
        <w:rPr>
          <w:sz w:val="20"/>
        </w:rPr>
        <w:t xml:space="preserve">à </w:t>
      </w:r>
      <w:r w:rsidR="00B67F84" w:rsidRPr="00A30D4C">
        <w:rPr>
          <w:sz w:val="20"/>
        </w:rPr>
        <w:t>l’adresse</w:t>
      </w:r>
      <w:r w:rsidR="003D36DB">
        <w:rPr>
          <w:sz w:val="20"/>
        </w:rPr>
        <w:t xml:space="preserve"> suivante :</w:t>
      </w:r>
    </w:p>
    <w:p w:rsidR="003D36DB" w:rsidRDefault="003D36DB" w:rsidP="0020276A">
      <w:pPr>
        <w:jc w:val="center"/>
        <w:rPr>
          <w:rStyle w:val="Lienhypertexte"/>
          <w:sz w:val="20"/>
        </w:rPr>
      </w:pPr>
    </w:p>
    <w:p w:rsidR="003D36DB" w:rsidRPr="0020276A" w:rsidRDefault="007A5270" w:rsidP="0020276A">
      <w:pPr>
        <w:jc w:val="center"/>
        <w:rPr>
          <w:b/>
          <w:sz w:val="20"/>
        </w:rPr>
      </w:pPr>
      <w:hyperlink r:id="rId10" w:history="1">
        <w:r w:rsidR="0087476B" w:rsidRPr="0020276A">
          <w:rPr>
            <w:rStyle w:val="Lienhypertexte"/>
            <w:b/>
            <w:sz w:val="20"/>
          </w:rPr>
          <w:t>1417-tltro-ut@banque-france.fr</w:t>
        </w:r>
      </w:hyperlink>
      <w:r w:rsidR="00B67F84" w:rsidRPr="0020276A">
        <w:rPr>
          <w:b/>
          <w:sz w:val="20"/>
        </w:rPr>
        <w:t>.</w:t>
      </w:r>
    </w:p>
    <w:p w:rsidR="003D36DB" w:rsidRDefault="003D36DB" w:rsidP="00C544BA">
      <w:pPr>
        <w:rPr>
          <w:sz w:val="20"/>
        </w:rPr>
      </w:pPr>
    </w:p>
    <w:p w:rsidR="00584993" w:rsidRDefault="00584993" w:rsidP="00C544BA">
      <w:pPr>
        <w:rPr>
          <w:sz w:val="20"/>
        </w:rPr>
      </w:pPr>
      <w:r w:rsidRPr="00A30D4C">
        <w:rPr>
          <w:sz w:val="20"/>
        </w:rPr>
        <w:t xml:space="preserve">Dans la mesure où les données demandées par la Banque de </w:t>
      </w:r>
      <w:r w:rsidR="00303B45">
        <w:rPr>
          <w:sz w:val="20"/>
        </w:rPr>
        <w:t xml:space="preserve">France </w:t>
      </w:r>
      <w:r w:rsidRPr="00A30D4C">
        <w:rPr>
          <w:sz w:val="20"/>
        </w:rPr>
        <w:t xml:space="preserve"> revêtent un caractère</w:t>
      </w:r>
      <w:r w:rsidRPr="00A30D4C">
        <w:rPr>
          <w:b/>
          <w:sz w:val="20"/>
        </w:rPr>
        <w:t xml:space="preserve"> confidentiel</w:t>
      </w:r>
      <w:r w:rsidRPr="00A30D4C">
        <w:rPr>
          <w:sz w:val="20"/>
        </w:rPr>
        <w:t>, la Banque de France demande de « </w:t>
      </w:r>
      <w:r w:rsidRPr="00A30D4C">
        <w:rPr>
          <w:b/>
          <w:sz w:val="20"/>
        </w:rPr>
        <w:t>chiffrer » (autrement dit crypter)</w:t>
      </w:r>
      <w:r w:rsidRPr="00A30D4C">
        <w:rPr>
          <w:rStyle w:val="Appelnotedebasdep"/>
          <w:b/>
          <w:sz w:val="20"/>
        </w:rPr>
        <w:footnoteReference w:id="1"/>
      </w:r>
      <w:r w:rsidRPr="00A30D4C">
        <w:rPr>
          <w:sz w:val="20"/>
        </w:rPr>
        <w:t xml:space="preserve"> </w:t>
      </w:r>
      <w:r>
        <w:rPr>
          <w:sz w:val="20"/>
        </w:rPr>
        <w:t>les</w:t>
      </w:r>
      <w:r w:rsidRPr="00A30D4C">
        <w:rPr>
          <w:sz w:val="20"/>
        </w:rPr>
        <w:t xml:space="preserve"> </w:t>
      </w:r>
      <w:r>
        <w:rPr>
          <w:sz w:val="20"/>
        </w:rPr>
        <w:t xml:space="preserve">échanges de courriels effectués au titre du </w:t>
      </w:r>
      <w:proofErr w:type="spellStart"/>
      <w:r>
        <w:rPr>
          <w:sz w:val="20"/>
        </w:rPr>
        <w:t>reporting</w:t>
      </w:r>
      <w:proofErr w:type="spellEnd"/>
      <w:r>
        <w:rPr>
          <w:sz w:val="20"/>
        </w:rPr>
        <w:t xml:space="preserve"> statistique</w:t>
      </w:r>
      <w:r w:rsidRPr="00A30D4C">
        <w:rPr>
          <w:sz w:val="20"/>
        </w:rPr>
        <w:t>. Un mécanisme de sécurité peut s’implémenter à divers niveaux dans le protocole d’échange par courriel</w:t>
      </w:r>
      <w:r w:rsidR="00D44612">
        <w:rPr>
          <w:sz w:val="20"/>
        </w:rPr>
        <w:t>.</w:t>
      </w:r>
      <w:r w:rsidRPr="00A30D4C">
        <w:rPr>
          <w:sz w:val="20"/>
        </w:rPr>
        <w:t> . La Banque de France propose </w:t>
      </w:r>
      <w:r>
        <w:rPr>
          <w:sz w:val="20"/>
        </w:rPr>
        <w:t>deux options</w:t>
      </w:r>
      <w:r w:rsidRPr="00A30D4C">
        <w:rPr>
          <w:sz w:val="20"/>
        </w:rPr>
        <w:t>:</w:t>
      </w:r>
    </w:p>
    <w:p w:rsidR="00584993" w:rsidRDefault="00584993" w:rsidP="00C544BA">
      <w:pPr>
        <w:rPr>
          <w:sz w:val="20"/>
        </w:rPr>
      </w:pPr>
    </w:p>
    <w:p w:rsidR="00E94C9B" w:rsidRPr="001F0604" w:rsidRDefault="00584993" w:rsidP="00584993">
      <w:pPr>
        <w:rPr>
          <w:sz w:val="20"/>
        </w:rPr>
      </w:pPr>
      <w:r w:rsidRPr="0020276A">
        <w:rPr>
          <w:b/>
          <w:sz w:val="20"/>
        </w:rPr>
        <w:t xml:space="preserve">Option </w:t>
      </w:r>
      <w:r w:rsidR="002A74C6">
        <w:rPr>
          <w:b/>
          <w:sz w:val="20"/>
        </w:rPr>
        <w:t>A (</w:t>
      </w:r>
      <w:r w:rsidRPr="0020276A">
        <w:rPr>
          <w:b/>
          <w:sz w:val="20"/>
        </w:rPr>
        <w:t>à privilégier</w:t>
      </w:r>
      <w:r w:rsidR="002A74C6">
        <w:rPr>
          <w:b/>
          <w:sz w:val="20"/>
        </w:rPr>
        <w:t>)</w:t>
      </w:r>
      <w:r w:rsidRPr="0020276A">
        <w:rPr>
          <w:b/>
          <w:sz w:val="20"/>
        </w:rPr>
        <w:t xml:space="preserve"> : </w:t>
      </w:r>
      <w:r w:rsidR="007433EA" w:rsidRPr="001F0604">
        <w:rPr>
          <w:sz w:val="20"/>
        </w:rPr>
        <w:t>utilis</w:t>
      </w:r>
      <w:r w:rsidRPr="001F0604">
        <w:rPr>
          <w:sz w:val="20"/>
        </w:rPr>
        <w:t>ation d’</w:t>
      </w:r>
      <w:r w:rsidR="007433EA" w:rsidRPr="001F0604">
        <w:rPr>
          <w:sz w:val="20"/>
        </w:rPr>
        <w:t xml:space="preserve">une sécurisation </w:t>
      </w:r>
      <w:r w:rsidR="007433EA" w:rsidRPr="001F0604">
        <w:rPr>
          <w:i/>
          <w:sz w:val="20"/>
        </w:rPr>
        <w:t>TLS</w:t>
      </w:r>
      <w:r w:rsidR="00411AB8" w:rsidRPr="001F0604">
        <w:rPr>
          <w:sz w:val="20"/>
        </w:rPr>
        <w:t xml:space="preserve"> (</w:t>
      </w:r>
      <w:r w:rsidR="007433EA" w:rsidRPr="001F0604">
        <w:rPr>
          <w:i/>
          <w:sz w:val="20"/>
        </w:rPr>
        <w:t>Transport Layer Security</w:t>
      </w:r>
      <w:r w:rsidR="00411AB8" w:rsidRPr="001F0604">
        <w:rPr>
          <w:sz w:val="20"/>
        </w:rPr>
        <w:t>, sécurité de la couche de transport</w:t>
      </w:r>
      <w:r w:rsidR="009C6572" w:rsidRPr="001F0604">
        <w:rPr>
          <w:sz w:val="20"/>
        </w:rPr>
        <w:t xml:space="preserve">, parfois connue sous le nom de SSL). </w:t>
      </w:r>
    </w:p>
    <w:p w:rsidR="00E94C9B" w:rsidRDefault="00E94C9B" w:rsidP="00584993">
      <w:pPr>
        <w:rPr>
          <w:sz w:val="20"/>
        </w:rPr>
      </w:pPr>
    </w:p>
    <w:p w:rsidR="00706D28" w:rsidRDefault="009C6572" w:rsidP="00584993">
      <w:pPr>
        <w:rPr>
          <w:sz w:val="20"/>
        </w:rPr>
      </w:pPr>
      <w:r w:rsidRPr="00A30D4C">
        <w:rPr>
          <w:sz w:val="20"/>
        </w:rPr>
        <w:t xml:space="preserve">Il s’agit d’un protocole </w:t>
      </w:r>
      <w:r w:rsidR="00A47F07" w:rsidRPr="00A30D4C">
        <w:rPr>
          <w:sz w:val="20"/>
        </w:rPr>
        <w:t>normalisé supporté</w:t>
      </w:r>
      <w:r w:rsidRPr="00A30D4C">
        <w:rPr>
          <w:sz w:val="20"/>
        </w:rPr>
        <w:t xml:space="preserve"> </w:t>
      </w:r>
      <w:r w:rsidR="00A47F07" w:rsidRPr="00A30D4C">
        <w:rPr>
          <w:sz w:val="20"/>
        </w:rPr>
        <w:t>par tous le</w:t>
      </w:r>
      <w:r w:rsidRPr="00A30D4C">
        <w:rPr>
          <w:sz w:val="20"/>
        </w:rPr>
        <w:t>s équipements de messagerie</w:t>
      </w:r>
      <w:r w:rsidR="00A47F07" w:rsidRPr="00A30D4C">
        <w:rPr>
          <w:sz w:val="20"/>
        </w:rPr>
        <w:t xml:space="preserve"> à l’état de l’art</w:t>
      </w:r>
      <w:r w:rsidRPr="00A30D4C">
        <w:rPr>
          <w:sz w:val="20"/>
        </w:rPr>
        <w:t xml:space="preserve">, </w:t>
      </w:r>
      <w:r w:rsidR="007433EA" w:rsidRPr="00A30D4C">
        <w:rPr>
          <w:sz w:val="20"/>
        </w:rPr>
        <w:t>très simple d’utilisation puisque cela n</w:t>
      </w:r>
      <w:r w:rsidRPr="00A30D4C">
        <w:rPr>
          <w:sz w:val="20"/>
        </w:rPr>
        <w:t>e nécess</w:t>
      </w:r>
      <w:r w:rsidR="00A47F07" w:rsidRPr="00A30D4C">
        <w:rPr>
          <w:sz w:val="20"/>
        </w:rPr>
        <w:t xml:space="preserve">ite aucune action des utilisateurs. </w:t>
      </w:r>
      <w:r w:rsidR="007433EA" w:rsidRPr="00A30D4C">
        <w:rPr>
          <w:sz w:val="20"/>
        </w:rPr>
        <w:t>Cette sécurité technique et invisible doit être vérifiée ou mise en place par les services informatiques</w:t>
      </w:r>
      <w:r w:rsidR="00E94C9B">
        <w:rPr>
          <w:sz w:val="20"/>
        </w:rPr>
        <w:t>. La Banque de France a</w:t>
      </w:r>
      <w:r w:rsidR="00A80598" w:rsidRPr="00A30D4C">
        <w:rPr>
          <w:sz w:val="20"/>
        </w:rPr>
        <w:t xml:space="preserve"> pu vérifier que les échanges de courriels avec plusieurs grands groupes bancaires sont d’ores et déjà protégés par cette technologie.</w:t>
      </w:r>
      <w:r w:rsidR="00A30D4C" w:rsidRPr="00A30D4C">
        <w:rPr>
          <w:sz w:val="20"/>
        </w:rPr>
        <w:t xml:space="preserve"> </w:t>
      </w:r>
    </w:p>
    <w:p w:rsidR="00706D28" w:rsidRDefault="00706D28" w:rsidP="00584993">
      <w:pPr>
        <w:rPr>
          <w:sz w:val="20"/>
        </w:rPr>
      </w:pPr>
    </w:p>
    <w:p w:rsidR="00A30D4C" w:rsidRPr="00A30D4C" w:rsidRDefault="00E94C9B" w:rsidP="00584993">
      <w:pPr>
        <w:rPr>
          <w:sz w:val="20"/>
        </w:rPr>
      </w:pPr>
      <w:r>
        <w:rPr>
          <w:sz w:val="20"/>
        </w:rPr>
        <w:t>Les établissements qui opteron</w:t>
      </w:r>
      <w:r w:rsidR="00706D28">
        <w:rPr>
          <w:sz w:val="20"/>
        </w:rPr>
        <w:t>t</w:t>
      </w:r>
      <w:r>
        <w:rPr>
          <w:sz w:val="20"/>
        </w:rPr>
        <w:t xml:space="preserve"> pour </w:t>
      </w:r>
      <w:r w:rsidR="00A30D4C" w:rsidRPr="00A30D4C">
        <w:rPr>
          <w:sz w:val="20"/>
        </w:rPr>
        <w:t xml:space="preserve">la sécurité technique </w:t>
      </w:r>
      <w:r w:rsidR="00A30D4C" w:rsidRPr="00A30D4C">
        <w:rPr>
          <w:i/>
          <w:sz w:val="20"/>
        </w:rPr>
        <w:t>TLS</w:t>
      </w:r>
      <w:r w:rsidR="00A30D4C" w:rsidRPr="00A30D4C">
        <w:rPr>
          <w:sz w:val="20"/>
        </w:rPr>
        <w:t xml:space="preserve"> </w:t>
      </w:r>
      <w:r>
        <w:rPr>
          <w:sz w:val="20"/>
        </w:rPr>
        <w:t>devront communiquer</w:t>
      </w:r>
      <w:r w:rsidR="00220985">
        <w:rPr>
          <w:sz w:val="20"/>
        </w:rPr>
        <w:t xml:space="preserve"> à la Banque de France</w:t>
      </w:r>
      <w:r>
        <w:rPr>
          <w:sz w:val="20"/>
        </w:rPr>
        <w:t xml:space="preserve"> </w:t>
      </w:r>
      <w:r w:rsidR="00A30D4C" w:rsidRPr="00A30D4C">
        <w:rPr>
          <w:sz w:val="20"/>
        </w:rPr>
        <w:t>l</w:t>
      </w:r>
      <w:r w:rsidR="00CF05B2">
        <w:rPr>
          <w:sz w:val="20"/>
        </w:rPr>
        <w:t xml:space="preserve">es </w:t>
      </w:r>
      <w:r w:rsidR="00A30D4C" w:rsidRPr="00A30D4C">
        <w:rPr>
          <w:sz w:val="20"/>
        </w:rPr>
        <w:t>adresse</w:t>
      </w:r>
      <w:r w:rsidR="00CF05B2">
        <w:rPr>
          <w:sz w:val="20"/>
        </w:rPr>
        <w:t>s</w:t>
      </w:r>
      <w:r w:rsidR="00A30D4C" w:rsidRPr="00A30D4C">
        <w:rPr>
          <w:sz w:val="20"/>
        </w:rPr>
        <w:t xml:space="preserve"> de messagerie de</w:t>
      </w:r>
      <w:r w:rsidR="00CF05B2">
        <w:rPr>
          <w:sz w:val="20"/>
        </w:rPr>
        <w:t xml:space="preserve">s </w:t>
      </w:r>
      <w:r w:rsidR="00A30D4C" w:rsidRPr="00A30D4C">
        <w:rPr>
          <w:sz w:val="20"/>
        </w:rPr>
        <w:t>interlocuteur</w:t>
      </w:r>
      <w:r w:rsidR="00CF05B2">
        <w:rPr>
          <w:sz w:val="20"/>
        </w:rPr>
        <w:t>s</w:t>
      </w:r>
      <w:r w:rsidR="00A30D4C" w:rsidRPr="00A30D4C">
        <w:rPr>
          <w:sz w:val="20"/>
        </w:rPr>
        <w:t xml:space="preserve"> </w:t>
      </w:r>
      <w:r w:rsidR="00220985">
        <w:rPr>
          <w:sz w:val="20"/>
        </w:rPr>
        <w:t>désigné</w:t>
      </w:r>
      <w:r w:rsidR="00CF05B2">
        <w:rPr>
          <w:sz w:val="20"/>
        </w:rPr>
        <w:t>s</w:t>
      </w:r>
      <w:r w:rsidR="00220985">
        <w:rPr>
          <w:sz w:val="20"/>
        </w:rPr>
        <w:t xml:space="preserve"> </w:t>
      </w:r>
      <w:r w:rsidR="00A30D4C" w:rsidRPr="00A30D4C">
        <w:rPr>
          <w:sz w:val="20"/>
        </w:rPr>
        <w:t xml:space="preserve">dans le cadre du TLTRO, ainsi que les coordonnées d’un technicien informatique susceptible d’être contacté </w:t>
      </w:r>
      <w:r w:rsidR="00220985">
        <w:rPr>
          <w:sz w:val="20"/>
        </w:rPr>
        <w:t xml:space="preserve">par la Banque de France afin de </w:t>
      </w:r>
      <w:r w:rsidR="00A30D4C" w:rsidRPr="00A30D4C">
        <w:rPr>
          <w:sz w:val="20"/>
        </w:rPr>
        <w:t xml:space="preserve">vérifier, régler ou activer cette sécurité. </w:t>
      </w:r>
    </w:p>
    <w:p w:rsidR="00411AB8" w:rsidRPr="00A30D4C" w:rsidRDefault="00411AB8" w:rsidP="00411AB8">
      <w:pPr>
        <w:rPr>
          <w:sz w:val="20"/>
        </w:rPr>
      </w:pPr>
    </w:p>
    <w:p w:rsidR="00706D28" w:rsidRDefault="00220985" w:rsidP="00C544BA">
      <w:pPr>
        <w:rPr>
          <w:sz w:val="20"/>
        </w:rPr>
      </w:pPr>
      <w:r w:rsidRPr="00D44612">
        <w:rPr>
          <w:b/>
          <w:sz w:val="20"/>
        </w:rPr>
        <w:t>Option</w:t>
      </w:r>
      <w:r w:rsidR="002A74C6" w:rsidRPr="00D44612">
        <w:rPr>
          <w:b/>
          <w:sz w:val="20"/>
        </w:rPr>
        <w:t xml:space="preserve"> B</w:t>
      </w:r>
      <w:r w:rsidRPr="00D44612">
        <w:rPr>
          <w:b/>
          <w:sz w:val="20"/>
        </w:rPr>
        <w:t>:</w:t>
      </w:r>
      <w:r w:rsidRPr="0020276A">
        <w:rPr>
          <w:b/>
          <w:sz w:val="20"/>
          <w:u w:val="single"/>
        </w:rPr>
        <w:t xml:space="preserve"> </w:t>
      </w:r>
      <w:r w:rsidR="009C6572" w:rsidRPr="00A30D4C">
        <w:rPr>
          <w:sz w:val="20"/>
        </w:rPr>
        <w:t xml:space="preserve">si </w:t>
      </w:r>
      <w:r w:rsidR="00A47F07" w:rsidRPr="00A30D4C">
        <w:rPr>
          <w:sz w:val="20"/>
        </w:rPr>
        <w:t xml:space="preserve">la sécurisation </w:t>
      </w:r>
      <w:r w:rsidR="00A47F07" w:rsidRPr="00A30D4C">
        <w:rPr>
          <w:i/>
          <w:sz w:val="20"/>
        </w:rPr>
        <w:t>TLS</w:t>
      </w:r>
      <w:r w:rsidR="00A47F07" w:rsidRPr="00A30D4C">
        <w:rPr>
          <w:sz w:val="20"/>
        </w:rPr>
        <w:t xml:space="preserve"> ne peut être mise en œuvre pour des raisons techniques, ou bien si </w:t>
      </w:r>
      <w:r>
        <w:rPr>
          <w:sz w:val="20"/>
        </w:rPr>
        <w:t xml:space="preserve">elle n’est pas </w:t>
      </w:r>
      <w:r w:rsidR="00A47F07" w:rsidRPr="00A30D4C">
        <w:rPr>
          <w:sz w:val="20"/>
        </w:rPr>
        <w:t>jug</w:t>
      </w:r>
      <w:r>
        <w:rPr>
          <w:sz w:val="20"/>
        </w:rPr>
        <w:t>ée</w:t>
      </w:r>
      <w:r w:rsidR="00A47F07" w:rsidRPr="00A30D4C">
        <w:rPr>
          <w:sz w:val="20"/>
        </w:rPr>
        <w:t xml:space="preserve"> </w:t>
      </w:r>
      <w:r>
        <w:rPr>
          <w:sz w:val="20"/>
        </w:rPr>
        <w:t>sa</w:t>
      </w:r>
      <w:r w:rsidR="00A47F07" w:rsidRPr="00A30D4C">
        <w:rPr>
          <w:sz w:val="20"/>
        </w:rPr>
        <w:t>tisfaisante</w:t>
      </w:r>
      <w:r>
        <w:rPr>
          <w:sz w:val="20"/>
        </w:rPr>
        <w:t xml:space="preserve"> par l’établissement</w:t>
      </w:r>
      <w:r w:rsidR="00F22288">
        <w:rPr>
          <w:sz w:val="20"/>
        </w:rPr>
        <w:t xml:space="preserve">, </w:t>
      </w:r>
      <w:r>
        <w:rPr>
          <w:sz w:val="20"/>
        </w:rPr>
        <w:t>l</w:t>
      </w:r>
      <w:r w:rsidR="00A47F07" w:rsidRPr="00A30D4C">
        <w:rPr>
          <w:sz w:val="20"/>
        </w:rPr>
        <w:t>a Banque de France est en mesure d’implémenter une sécurisation à la main de l’utilisateur en s’appuyant sur le format de message</w:t>
      </w:r>
      <w:r w:rsidR="00B67F84" w:rsidRPr="00A30D4C">
        <w:rPr>
          <w:sz w:val="20"/>
        </w:rPr>
        <w:t xml:space="preserve"> </w:t>
      </w:r>
      <w:r w:rsidR="00B67F84" w:rsidRPr="00A30D4C">
        <w:rPr>
          <w:i/>
          <w:sz w:val="20"/>
        </w:rPr>
        <w:t>S/MIME</w:t>
      </w:r>
      <w:r w:rsidR="004A6226" w:rsidRPr="00A30D4C">
        <w:rPr>
          <w:sz w:val="20"/>
        </w:rPr>
        <w:t xml:space="preserve">, </w:t>
      </w:r>
      <w:r w:rsidR="005A594C" w:rsidRPr="00A30D4C">
        <w:rPr>
          <w:sz w:val="20"/>
        </w:rPr>
        <w:t xml:space="preserve">lui aussi </w:t>
      </w:r>
      <w:r w:rsidR="004A6226" w:rsidRPr="00A30D4C">
        <w:rPr>
          <w:sz w:val="20"/>
        </w:rPr>
        <w:t xml:space="preserve">implémenté par l’ensemble des systèmes de messagerie électronique </w:t>
      </w:r>
      <w:r>
        <w:rPr>
          <w:sz w:val="20"/>
        </w:rPr>
        <w:t xml:space="preserve">du marché </w:t>
      </w:r>
      <w:r w:rsidR="00B67F84" w:rsidRPr="00A30D4C">
        <w:rPr>
          <w:sz w:val="20"/>
        </w:rPr>
        <w:t xml:space="preserve">qui </w:t>
      </w:r>
      <w:r w:rsidR="0086091D" w:rsidRPr="00A30D4C">
        <w:rPr>
          <w:sz w:val="20"/>
        </w:rPr>
        <w:t>met en œuvre</w:t>
      </w:r>
      <w:r w:rsidR="00C83D1A" w:rsidRPr="00A30D4C">
        <w:rPr>
          <w:sz w:val="20"/>
        </w:rPr>
        <w:t xml:space="preserve"> l</w:t>
      </w:r>
      <w:r w:rsidR="00A32432" w:rsidRPr="00A30D4C">
        <w:rPr>
          <w:sz w:val="20"/>
        </w:rPr>
        <w:t xml:space="preserve">es algorithmes </w:t>
      </w:r>
      <w:r w:rsidR="00275B02" w:rsidRPr="00A30D4C">
        <w:rPr>
          <w:sz w:val="20"/>
        </w:rPr>
        <w:t xml:space="preserve">de </w:t>
      </w:r>
      <w:r w:rsidR="00A32432" w:rsidRPr="00A30D4C">
        <w:rPr>
          <w:sz w:val="20"/>
        </w:rPr>
        <w:t>cryptographi</w:t>
      </w:r>
      <w:r w:rsidR="00275B02" w:rsidRPr="00A30D4C">
        <w:rPr>
          <w:sz w:val="20"/>
        </w:rPr>
        <w:t>e</w:t>
      </w:r>
      <w:r w:rsidR="00A32432" w:rsidRPr="00A30D4C">
        <w:rPr>
          <w:sz w:val="20"/>
        </w:rPr>
        <w:t xml:space="preserve"> </w:t>
      </w:r>
      <w:r w:rsidR="00275B02" w:rsidRPr="00A30D4C">
        <w:rPr>
          <w:sz w:val="20"/>
        </w:rPr>
        <w:t>au moyen</w:t>
      </w:r>
      <w:r w:rsidR="00C83D1A" w:rsidRPr="00A30D4C">
        <w:rPr>
          <w:sz w:val="20"/>
        </w:rPr>
        <w:t xml:space="preserve"> </w:t>
      </w:r>
      <w:r w:rsidR="00B67F84" w:rsidRPr="00A30D4C">
        <w:rPr>
          <w:sz w:val="20"/>
        </w:rPr>
        <w:t xml:space="preserve">de certificats </w:t>
      </w:r>
      <w:r w:rsidR="00172AF1" w:rsidRPr="00A30D4C">
        <w:rPr>
          <w:sz w:val="20"/>
        </w:rPr>
        <w:t xml:space="preserve">numériques </w:t>
      </w:r>
      <w:r w:rsidR="00B67F84" w:rsidRPr="00A30D4C">
        <w:rPr>
          <w:sz w:val="20"/>
        </w:rPr>
        <w:t xml:space="preserve">au format </w:t>
      </w:r>
      <w:r w:rsidR="00C83D1A" w:rsidRPr="00A30D4C">
        <w:rPr>
          <w:sz w:val="20"/>
        </w:rPr>
        <w:t>normalisé</w:t>
      </w:r>
      <w:r w:rsidR="00B67F84" w:rsidRPr="00A30D4C">
        <w:rPr>
          <w:sz w:val="20"/>
        </w:rPr>
        <w:t xml:space="preserve"> </w:t>
      </w:r>
      <w:r w:rsidR="00B67F84" w:rsidRPr="00A30D4C">
        <w:rPr>
          <w:i/>
          <w:sz w:val="20"/>
        </w:rPr>
        <w:t>X509</w:t>
      </w:r>
      <w:r w:rsidR="005A594C" w:rsidRPr="00A30D4C">
        <w:rPr>
          <w:rStyle w:val="Appelnotedebasdep"/>
          <w:sz w:val="20"/>
        </w:rPr>
        <w:footnoteReference w:id="2"/>
      </w:r>
      <w:r w:rsidR="00B67F84" w:rsidRPr="00A30D4C">
        <w:rPr>
          <w:sz w:val="20"/>
        </w:rPr>
        <w:t>.</w:t>
      </w:r>
      <w:r w:rsidR="005A594C" w:rsidRPr="00A30D4C">
        <w:rPr>
          <w:sz w:val="20"/>
        </w:rPr>
        <w:t xml:space="preserve"> Cette solution, </w:t>
      </w:r>
      <w:r w:rsidR="00A80598" w:rsidRPr="00A30D4C">
        <w:rPr>
          <w:sz w:val="20"/>
        </w:rPr>
        <w:t xml:space="preserve">classiquement </w:t>
      </w:r>
      <w:r w:rsidR="005A594C" w:rsidRPr="00A30D4C">
        <w:rPr>
          <w:sz w:val="20"/>
        </w:rPr>
        <w:t xml:space="preserve">intégrée au logiciel de messagerie, permet à l’utilisateur de visualiser </w:t>
      </w:r>
      <w:r w:rsidR="00384D4A">
        <w:rPr>
          <w:sz w:val="20"/>
        </w:rPr>
        <w:t xml:space="preserve">et s’assurer de </w:t>
      </w:r>
      <w:r w:rsidR="005A594C" w:rsidRPr="00A30D4C">
        <w:rPr>
          <w:sz w:val="20"/>
        </w:rPr>
        <w:t xml:space="preserve">la bonne sécurisation des messages, mais nécessite </w:t>
      </w:r>
      <w:r w:rsidR="00824765" w:rsidRPr="00A30D4C">
        <w:rPr>
          <w:sz w:val="20"/>
        </w:rPr>
        <w:t>certaines actions</w:t>
      </w:r>
      <w:r w:rsidR="006F35C8">
        <w:rPr>
          <w:sz w:val="20"/>
        </w:rPr>
        <w:t>,</w:t>
      </w:r>
      <w:r w:rsidR="005A594C" w:rsidRPr="00A30D4C">
        <w:rPr>
          <w:sz w:val="20"/>
        </w:rPr>
        <w:t xml:space="preserve"> notamment </w:t>
      </w:r>
      <w:r w:rsidR="006F35C8">
        <w:rPr>
          <w:sz w:val="20"/>
        </w:rPr>
        <w:t>l’</w:t>
      </w:r>
      <w:r w:rsidR="005A594C" w:rsidRPr="00A30D4C">
        <w:rPr>
          <w:sz w:val="20"/>
        </w:rPr>
        <w:t>install</w:t>
      </w:r>
      <w:r w:rsidR="006F35C8">
        <w:rPr>
          <w:sz w:val="20"/>
        </w:rPr>
        <w:t xml:space="preserve">ation de </w:t>
      </w:r>
      <w:r w:rsidR="005A594C" w:rsidRPr="00A30D4C">
        <w:rPr>
          <w:sz w:val="20"/>
        </w:rPr>
        <w:t>certificat</w:t>
      </w:r>
      <w:r w:rsidR="00824765">
        <w:rPr>
          <w:sz w:val="20"/>
        </w:rPr>
        <w:t>s</w:t>
      </w:r>
      <w:r w:rsidR="00A80598" w:rsidRPr="00A30D4C">
        <w:rPr>
          <w:sz w:val="20"/>
        </w:rPr>
        <w:t>.</w:t>
      </w:r>
      <w:r w:rsidR="005A594C" w:rsidRPr="00A30D4C">
        <w:rPr>
          <w:sz w:val="20"/>
        </w:rPr>
        <w:t xml:space="preserve"> </w:t>
      </w:r>
      <w:r w:rsidR="00A80598" w:rsidRPr="00A30D4C">
        <w:rPr>
          <w:sz w:val="20"/>
        </w:rPr>
        <w:t>Deux</w:t>
      </w:r>
      <w:r w:rsidR="005A594C" w:rsidRPr="00A30D4C">
        <w:rPr>
          <w:sz w:val="20"/>
        </w:rPr>
        <w:t xml:space="preserve"> certificats sont </w:t>
      </w:r>
      <w:r w:rsidR="00A80598" w:rsidRPr="00A30D4C">
        <w:rPr>
          <w:sz w:val="20"/>
        </w:rPr>
        <w:t xml:space="preserve">en effet </w:t>
      </w:r>
      <w:r w:rsidR="005A594C" w:rsidRPr="00A30D4C">
        <w:rPr>
          <w:sz w:val="20"/>
        </w:rPr>
        <w:t xml:space="preserve">nécessaires : l’un  fourni </w:t>
      </w:r>
      <w:r w:rsidR="005A594C" w:rsidRPr="00A30D4C">
        <w:rPr>
          <w:sz w:val="20"/>
        </w:rPr>
        <w:lastRenderedPageBreak/>
        <w:t xml:space="preserve">par la Banque de France permet de chiffrer les messages </w:t>
      </w:r>
      <w:r>
        <w:rPr>
          <w:sz w:val="20"/>
        </w:rPr>
        <w:t>émis par l’établissement</w:t>
      </w:r>
      <w:r w:rsidR="005A594C" w:rsidRPr="00A30D4C">
        <w:rPr>
          <w:sz w:val="20"/>
        </w:rPr>
        <w:t xml:space="preserve">, l’autre </w:t>
      </w:r>
      <w:r>
        <w:rPr>
          <w:sz w:val="20"/>
        </w:rPr>
        <w:t>d</w:t>
      </w:r>
      <w:r w:rsidR="00F22288">
        <w:rPr>
          <w:sz w:val="20"/>
        </w:rPr>
        <w:t>oit</w:t>
      </w:r>
      <w:r>
        <w:rPr>
          <w:sz w:val="20"/>
        </w:rPr>
        <w:t xml:space="preserve"> être acquis par l’établissement</w:t>
      </w:r>
      <w:r w:rsidR="00A80598" w:rsidRPr="00A30D4C">
        <w:rPr>
          <w:rStyle w:val="Appelnotedebasdep"/>
          <w:sz w:val="20"/>
        </w:rPr>
        <w:footnoteReference w:id="3"/>
      </w:r>
      <w:r w:rsidR="005A594C" w:rsidRPr="00A30D4C">
        <w:rPr>
          <w:sz w:val="20"/>
        </w:rPr>
        <w:t xml:space="preserve"> et communiqu</w:t>
      </w:r>
      <w:r>
        <w:rPr>
          <w:sz w:val="20"/>
        </w:rPr>
        <w:t>é</w:t>
      </w:r>
      <w:r w:rsidR="005A594C" w:rsidRPr="00A30D4C">
        <w:rPr>
          <w:sz w:val="20"/>
        </w:rPr>
        <w:t xml:space="preserve"> à la Banque de France qui l’utilisera pour </w:t>
      </w:r>
      <w:r w:rsidR="00A80598" w:rsidRPr="00A30D4C">
        <w:rPr>
          <w:sz w:val="20"/>
        </w:rPr>
        <w:t xml:space="preserve">chiffrer </w:t>
      </w:r>
      <w:r>
        <w:rPr>
          <w:sz w:val="20"/>
        </w:rPr>
        <w:t>l</w:t>
      </w:r>
      <w:r w:rsidR="00A80598" w:rsidRPr="00A30D4C">
        <w:rPr>
          <w:sz w:val="20"/>
        </w:rPr>
        <w:t>es messages</w:t>
      </w:r>
      <w:r w:rsidR="00784833">
        <w:rPr>
          <w:sz w:val="20"/>
        </w:rPr>
        <w:t xml:space="preserve"> </w:t>
      </w:r>
      <w:r w:rsidR="00706D28">
        <w:rPr>
          <w:sz w:val="20"/>
        </w:rPr>
        <w:t>transmis</w:t>
      </w:r>
      <w:r w:rsidR="00784833">
        <w:rPr>
          <w:sz w:val="20"/>
        </w:rPr>
        <w:t>.</w:t>
      </w:r>
      <w:r w:rsidR="00784833" w:rsidRPr="00A30D4C" w:rsidDel="00706D28">
        <w:rPr>
          <w:sz w:val="20"/>
        </w:rPr>
        <w:t xml:space="preserve"> </w:t>
      </w:r>
    </w:p>
    <w:p w:rsidR="00BD41B3" w:rsidRDefault="00BD41B3" w:rsidP="00C544BA">
      <w:pPr>
        <w:rPr>
          <w:sz w:val="20"/>
        </w:rPr>
      </w:pPr>
    </w:p>
    <w:p w:rsidR="00C93D0E" w:rsidRDefault="00706D28" w:rsidP="00C544BA">
      <w:pPr>
        <w:rPr>
          <w:sz w:val="20"/>
        </w:rPr>
      </w:pPr>
      <w:r>
        <w:rPr>
          <w:sz w:val="20"/>
        </w:rPr>
        <w:t xml:space="preserve">Les établissements qui opteront pour </w:t>
      </w:r>
      <w:r w:rsidRPr="00A30D4C">
        <w:rPr>
          <w:sz w:val="20"/>
        </w:rPr>
        <w:t xml:space="preserve">la sécurité </w:t>
      </w:r>
      <w:r w:rsidR="00A30D4C" w:rsidRPr="00A30D4C">
        <w:rPr>
          <w:i/>
          <w:sz w:val="20"/>
        </w:rPr>
        <w:t>S/MIME</w:t>
      </w:r>
      <w:r>
        <w:rPr>
          <w:i/>
          <w:sz w:val="20"/>
        </w:rPr>
        <w:t xml:space="preserve"> </w:t>
      </w:r>
      <w:r>
        <w:rPr>
          <w:sz w:val="20"/>
        </w:rPr>
        <w:t xml:space="preserve">devront communiquer à la Banque de France </w:t>
      </w:r>
      <w:r w:rsidRPr="00A30D4C">
        <w:rPr>
          <w:sz w:val="20"/>
        </w:rPr>
        <w:t>l</w:t>
      </w:r>
      <w:r>
        <w:rPr>
          <w:sz w:val="20"/>
        </w:rPr>
        <w:t xml:space="preserve">es coordonnées </w:t>
      </w:r>
      <w:r w:rsidRPr="00A30D4C">
        <w:rPr>
          <w:sz w:val="20"/>
        </w:rPr>
        <w:t>de</w:t>
      </w:r>
      <w:r w:rsidR="00CF05B2">
        <w:rPr>
          <w:sz w:val="20"/>
        </w:rPr>
        <w:t>s</w:t>
      </w:r>
      <w:r w:rsidRPr="00A30D4C">
        <w:rPr>
          <w:sz w:val="20"/>
        </w:rPr>
        <w:t xml:space="preserve"> interlocuteur</w:t>
      </w:r>
      <w:r w:rsidR="00CF05B2">
        <w:rPr>
          <w:sz w:val="20"/>
        </w:rPr>
        <w:t>s</w:t>
      </w:r>
      <w:r w:rsidRPr="00A30D4C">
        <w:rPr>
          <w:sz w:val="20"/>
        </w:rPr>
        <w:t xml:space="preserve"> </w:t>
      </w:r>
      <w:r>
        <w:rPr>
          <w:sz w:val="20"/>
        </w:rPr>
        <w:t>désigné</w:t>
      </w:r>
      <w:r w:rsidR="00CF05B2">
        <w:rPr>
          <w:sz w:val="20"/>
        </w:rPr>
        <w:t>s</w:t>
      </w:r>
      <w:r>
        <w:rPr>
          <w:sz w:val="20"/>
        </w:rPr>
        <w:t xml:space="preserve"> </w:t>
      </w:r>
      <w:r w:rsidRPr="00A30D4C">
        <w:rPr>
          <w:sz w:val="20"/>
        </w:rPr>
        <w:t>dans le cadre du TLTRO</w:t>
      </w:r>
      <w:r>
        <w:rPr>
          <w:sz w:val="20"/>
        </w:rPr>
        <w:t xml:space="preserve"> ainsi que</w:t>
      </w:r>
      <w:r w:rsidRPr="00A30D4C">
        <w:rPr>
          <w:sz w:val="20"/>
        </w:rPr>
        <w:t xml:space="preserve"> </w:t>
      </w:r>
      <w:r>
        <w:rPr>
          <w:sz w:val="20"/>
        </w:rPr>
        <w:t>d’un technicien informatique</w:t>
      </w:r>
      <w:r w:rsidR="00AD723F">
        <w:rPr>
          <w:sz w:val="20"/>
        </w:rPr>
        <w:t>. L</w:t>
      </w:r>
      <w:r>
        <w:rPr>
          <w:sz w:val="20"/>
        </w:rPr>
        <w:t>a Banque de France s</w:t>
      </w:r>
      <w:r w:rsidRPr="00A30D4C">
        <w:rPr>
          <w:sz w:val="20"/>
        </w:rPr>
        <w:t xml:space="preserve">e </w:t>
      </w:r>
      <w:r w:rsidR="00A30D4C" w:rsidRPr="00A30D4C">
        <w:rPr>
          <w:sz w:val="20"/>
        </w:rPr>
        <w:t>mettr</w:t>
      </w:r>
      <w:r>
        <w:rPr>
          <w:sz w:val="20"/>
        </w:rPr>
        <w:t>a</w:t>
      </w:r>
      <w:r w:rsidR="00A30D4C" w:rsidRPr="00A30D4C">
        <w:rPr>
          <w:sz w:val="20"/>
        </w:rPr>
        <w:t xml:space="preserve"> en relation</w:t>
      </w:r>
      <w:r w:rsidR="00AD723F">
        <w:rPr>
          <w:sz w:val="20"/>
        </w:rPr>
        <w:t xml:space="preserve"> avec ces correspondants</w:t>
      </w:r>
      <w:r w:rsidR="00A30D4C" w:rsidRPr="00A30D4C">
        <w:rPr>
          <w:sz w:val="20"/>
        </w:rPr>
        <w:t xml:space="preserve"> </w:t>
      </w:r>
      <w:r w:rsidR="00AD723F">
        <w:rPr>
          <w:sz w:val="20"/>
        </w:rPr>
        <w:t xml:space="preserve">afin de </w:t>
      </w:r>
      <w:r w:rsidR="00384D4A">
        <w:rPr>
          <w:sz w:val="20"/>
        </w:rPr>
        <w:t xml:space="preserve">synchroniser </w:t>
      </w:r>
      <w:r>
        <w:rPr>
          <w:sz w:val="20"/>
        </w:rPr>
        <w:t xml:space="preserve">les actions requises pour </w:t>
      </w:r>
      <w:r w:rsidR="00A30D4C" w:rsidRPr="00A30D4C">
        <w:rPr>
          <w:sz w:val="20"/>
        </w:rPr>
        <w:t>l’implémentation du dispositif</w:t>
      </w:r>
      <w:r w:rsidR="003D5227">
        <w:rPr>
          <w:sz w:val="20"/>
        </w:rPr>
        <w:t>.</w:t>
      </w:r>
    </w:p>
    <w:p w:rsidR="00E400CE" w:rsidRDefault="00E400CE" w:rsidP="00C544BA">
      <w:pPr>
        <w:rPr>
          <w:sz w:val="20"/>
        </w:rPr>
      </w:pPr>
    </w:p>
    <w:p w:rsidR="00962915" w:rsidRPr="0020276A" w:rsidRDefault="002A74C6" w:rsidP="00C544BA">
      <w:pPr>
        <w:rPr>
          <w:b/>
          <w:sz w:val="20"/>
        </w:rPr>
      </w:pPr>
      <w:r w:rsidRPr="0020276A">
        <w:rPr>
          <w:b/>
          <w:sz w:val="20"/>
        </w:rPr>
        <w:t xml:space="preserve">En raison des délais de délivrance des certificats, </w:t>
      </w:r>
      <w:r w:rsidR="00CF05B2" w:rsidRPr="0020276A">
        <w:rPr>
          <w:b/>
          <w:sz w:val="20"/>
        </w:rPr>
        <w:t>l’option B</w:t>
      </w:r>
      <w:r w:rsidR="00962915" w:rsidRPr="0020276A">
        <w:rPr>
          <w:b/>
          <w:sz w:val="20"/>
        </w:rPr>
        <w:t xml:space="preserve"> ne pourra être mis</w:t>
      </w:r>
      <w:r w:rsidR="00CF05B2" w:rsidRPr="0020276A">
        <w:rPr>
          <w:b/>
          <w:sz w:val="20"/>
        </w:rPr>
        <w:t>e</w:t>
      </w:r>
      <w:r w:rsidR="00962915" w:rsidRPr="0020276A">
        <w:rPr>
          <w:b/>
          <w:sz w:val="20"/>
        </w:rPr>
        <w:t xml:space="preserve"> en place </w:t>
      </w:r>
      <w:r w:rsidR="00CF05B2" w:rsidRPr="0020276A">
        <w:rPr>
          <w:b/>
          <w:sz w:val="20"/>
        </w:rPr>
        <w:t xml:space="preserve">que </w:t>
      </w:r>
      <w:r w:rsidR="00962915" w:rsidRPr="0020276A">
        <w:rPr>
          <w:b/>
          <w:sz w:val="20"/>
        </w:rPr>
        <w:t xml:space="preserve">pour les établissements participants qui se seront déclarés avant le </w:t>
      </w:r>
      <w:r w:rsidR="00D44612">
        <w:rPr>
          <w:b/>
          <w:sz w:val="20"/>
        </w:rPr>
        <w:t>12</w:t>
      </w:r>
      <w:r w:rsidR="00D44612" w:rsidRPr="0020276A">
        <w:rPr>
          <w:b/>
          <w:sz w:val="20"/>
        </w:rPr>
        <w:t xml:space="preserve"> </w:t>
      </w:r>
      <w:r w:rsidR="00962915" w:rsidRPr="0020276A">
        <w:rPr>
          <w:b/>
          <w:sz w:val="20"/>
        </w:rPr>
        <w:t xml:space="preserve">aout 15h30. </w:t>
      </w:r>
      <w:r w:rsidR="00CD695A">
        <w:rPr>
          <w:b/>
          <w:sz w:val="20"/>
        </w:rPr>
        <w:t xml:space="preserve">L’option A restera </w:t>
      </w:r>
      <w:r w:rsidR="005D35D7">
        <w:rPr>
          <w:b/>
          <w:sz w:val="20"/>
        </w:rPr>
        <w:t xml:space="preserve">proposée </w:t>
      </w:r>
      <w:r w:rsidR="00CD695A">
        <w:rPr>
          <w:b/>
          <w:sz w:val="20"/>
        </w:rPr>
        <w:t xml:space="preserve"> au-delà de cette échéance.</w:t>
      </w:r>
    </w:p>
    <w:p w:rsidR="00962915" w:rsidRDefault="00962915" w:rsidP="00C544BA">
      <w:pPr>
        <w:rPr>
          <w:sz w:val="20"/>
        </w:rPr>
      </w:pPr>
    </w:p>
    <w:p w:rsidR="00E400CE" w:rsidRDefault="00E400CE" w:rsidP="00C544BA">
      <w:pPr>
        <w:rPr>
          <w:sz w:val="20"/>
        </w:rPr>
      </w:pPr>
      <w:r>
        <w:rPr>
          <w:sz w:val="20"/>
        </w:rPr>
        <w:t xml:space="preserve">En cas d’impossibilité avérée pour implémenter l’un ou l’autre des dispositifs, ou en cas de défaillance de la solution </w:t>
      </w:r>
      <w:r w:rsidR="001F79A1">
        <w:rPr>
          <w:sz w:val="20"/>
        </w:rPr>
        <w:t xml:space="preserve">choisie </w:t>
      </w:r>
      <w:r>
        <w:rPr>
          <w:sz w:val="20"/>
        </w:rPr>
        <w:t xml:space="preserve">en cours d’utilisation, </w:t>
      </w:r>
      <w:r w:rsidR="00CF05B2">
        <w:rPr>
          <w:sz w:val="20"/>
        </w:rPr>
        <w:t>les établissements</w:t>
      </w:r>
      <w:r w:rsidR="00FD30B8">
        <w:rPr>
          <w:sz w:val="20"/>
        </w:rPr>
        <w:t xml:space="preserve"> pourront</w:t>
      </w:r>
      <w:r w:rsidR="00BD41B3">
        <w:rPr>
          <w:sz w:val="20"/>
        </w:rPr>
        <w:t>,</w:t>
      </w:r>
      <w:r w:rsidR="00CF05B2">
        <w:rPr>
          <w:sz w:val="20"/>
        </w:rPr>
        <w:t xml:space="preserve"> </w:t>
      </w:r>
      <w:r>
        <w:rPr>
          <w:sz w:val="20"/>
        </w:rPr>
        <w:t>à titre dérogatoire et en accord avec le Service des Statistiques Européennes, décider d’échanger par courriel non chiffré.</w:t>
      </w:r>
    </w:p>
    <w:p w:rsidR="00A30D4C" w:rsidRDefault="00A30D4C" w:rsidP="00C544BA">
      <w:pPr>
        <w:rPr>
          <w:sz w:val="20"/>
        </w:rPr>
      </w:pPr>
    </w:p>
    <w:p w:rsidR="001B3572" w:rsidRDefault="00784833" w:rsidP="00C544BA">
      <w:pPr>
        <w:rPr>
          <w:sz w:val="20"/>
        </w:rPr>
      </w:pPr>
      <w:r>
        <w:rPr>
          <w:sz w:val="20"/>
        </w:rPr>
        <w:t xml:space="preserve">Pour toute question relative à la </w:t>
      </w:r>
      <w:r w:rsidR="001B3572">
        <w:rPr>
          <w:sz w:val="20"/>
        </w:rPr>
        <w:t xml:space="preserve">sécurisation des échanges de données entre les établissements et la Banque de France, les responsables à contacter à la Banque de France sont : </w:t>
      </w:r>
    </w:p>
    <w:p w:rsidR="001B3572" w:rsidRDefault="001B3572" w:rsidP="00C544BA">
      <w:pPr>
        <w:rPr>
          <w:sz w:val="20"/>
        </w:rPr>
      </w:pPr>
    </w:p>
    <w:p w:rsidR="001B3572" w:rsidRDefault="001B3572" w:rsidP="00C544BA">
      <w:pPr>
        <w:rPr>
          <w:sz w:val="20"/>
        </w:rPr>
      </w:pPr>
      <w:r>
        <w:rPr>
          <w:sz w:val="20"/>
        </w:rPr>
        <w:t xml:space="preserve">Roland </w:t>
      </w:r>
      <w:proofErr w:type="spellStart"/>
      <w:r>
        <w:rPr>
          <w:sz w:val="20"/>
        </w:rPr>
        <w:t>Lubrano</w:t>
      </w:r>
      <w:proofErr w:type="spellEnd"/>
      <w:r>
        <w:rPr>
          <w:sz w:val="20"/>
        </w:rPr>
        <w:t>, chef du service des projets et des maintenances statistiques</w:t>
      </w:r>
    </w:p>
    <w:p w:rsidR="00584993" w:rsidRDefault="001B3572" w:rsidP="00C544BA">
      <w:pPr>
        <w:rPr>
          <w:sz w:val="20"/>
        </w:rPr>
      </w:pPr>
      <w:proofErr w:type="gramStart"/>
      <w:r>
        <w:rPr>
          <w:sz w:val="20"/>
        </w:rPr>
        <w:t>e-mail</w:t>
      </w:r>
      <w:proofErr w:type="gramEnd"/>
      <w:r>
        <w:rPr>
          <w:sz w:val="20"/>
        </w:rPr>
        <w:t xml:space="preserve"> : </w:t>
      </w:r>
      <w:r w:rsidR="0020276A" w:rsidRPr="0020276A">
        <w:rPr>
          <w:sz w:val="20"/>
        </w:rPr>
        <w:t>Roland.LUBRANODISCAMPAMORTE@banque-france.fr</w:t>
      </w:r>
      <w:r>
        <w:rPr>
          <w:sz w:val="20"/>
        </w:rPr>
        <w:t xml:space="preserve">   </w:t>
      </w:r>
      <w:r w:rsidR="00784833">
        <w:rPr>
          <w:sz w:val="20"/>
        </w:rPr>
        <w:t xml:space="preserve"> </w:t>
      </w:r>
    </w:p>
    <w:p w:rsidR="001B3572" w:rsidRDefault="001B3572" w:rsidP="001B3572">
      <w:pPr>
        <w:rPr>
          <w:sz w:val="20"/>
        </w:rPr>
      </w:pPr>
      <w:r>
        <w:rPr>
          <w:sz w:val="20"/>
        </w:rPr>
        <w:t xml:space="preserve">Julien Dejean, adjoint au chef du service des projets et des maintenances statistiques    </w:t>
      </w:r>
    </w:p>
    <w:p w:rsidR="001B3572" w:rsidRPr="00A30D4C" w:rsidRDefault="001B3572">
      <w:pPr>
        <w:rPr>
          <w:sz w:val="20"/>
        </w:rPr>
      </w:pPr>
      <w:proofErr w:type="gramStart"/>
      <w:r>
        <w:rPr>
          <w:sz w:val="20"/>
        </w:rPr>
        <w:t>e-mail</w:t>
      </w:r>
      <w:proofErr w:type="gramEnd"/>
      <w:r>
        <w:rPr>
          <w:sz w:val="20"/>
        </w:rPr>
        <w:t xml:space="preserve"> : </w:t>
      </w:r>
      <w:r w:rsidR="006F4596" w:rsidRPr="006F4596">
        <w:rPr>
          <w:sz w:val="20"/>
        </w:rPr>
        <w:t>julien.dejean@banque-france.fr</w:t>
      </w:r>
    </w:p>
    <w:p w:rsidR="002833D4" w:rsidRPr="00A30D4C" w:rsidRDefault="002833D4" w:rsidP="00CF05B2">
      <w:pPr>
        <w:rPr>
          <w:sz w:val="20"/>
        </w:rPr>
      </w:pPr>
    </w:p>
    <w:sectPr w:rsidR="002833D4" w:rsidRPr="00A30D4C" w:rsidSect="0061247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98" w:rsidRDefault="00D93398" w:rsidP="008D279B">
      <w:r>
        <w:separator/>
      </w:r>
    </w:p>
  </w:endnote>
  <w:endnote w:type="continuationSeparator" w:id="0">
    <w:p w:rsidR="00D93398" w:rsidRDefault="00D93398" w:rsidP="008D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98" w:rsidRDefault="00D93398" w:rsidP="008D279B">
      <w:r>
        <w:separator/>
      </w:r>
    </w:p>
  </w:footnote>
  <w:footnote w:type="continuationSeparator" w:id="0">
    <w:p w:rsidR="00D93398" w:rsidRDefault="00D93398" w:rsidP="008D279B">
      <w:r>
        <w:continuationSeparator/>
      </w:r>
    </w:p>
  </w:footnote>
  <w:footnote w:id="1">
    <w:p w:rsidR="00584993" w:rsidRDefault="00584993" w:rsidP="00584993">
      <w:pPr>
        <w:pStyle w:val="Notedebasdepage"/>
      </w:pPr>
      <w:r>
        <w:rPr>
          <w:rStyle w:val="Appelnotedebasdep"/>
        </w:rPr>
        <w:footnoteRef/>
      </w:r>
      <w:r>
        <w:t xml:space="preserve"> Dans le contexte de cette collecte, la Banque de France ne demande pas de « signer » les messages. </w:t>
      </w:r>
    </w:p>
  </w:footnote>
  <w:footnote w:id="2">
    <w:p w:rsidR="005A594C" w:rsidRPr="005A594C" w:rsidRDefault="005A594C" w:rsidP="005A594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A594C">
        <w:t xml:space="preserve">Un certificat numérique </w:t>
      </w:r>
      <w:r w:rsidRPr="005A594C">
        <w:rPr>
          <w:i/>
        </w:rPr>
        <w:t>X509</w:t>
      </w:r>
      <w:r w:rsidRPr="005A594C">
        <w:t> contient entre autres informations utiles :</w:t>
      </w:r>
    </w:p>
    <w:p w:rsidR="005A594C" w:rsidRPr="005A594C" w:rsidRDefault="005A594C" w:rsidP="005A594C">
      <w:pPr>
        <w:pStyle w:val="Notedebasdepage"/>
        <w:numPr>
          <w:ilvl w:val="0"/>
          <w:numId w:val="9"/>
        </w:numPr>
      </w:pPr>
      <w:r w:rsidRPr="005A594C">
        <w:t>Une clé cryptographique dite « publique » ;</w:t>
      </w:r>
    </w:p>
    <w:p w:rsidR="005A594C" w:rsidRPr="005A594C" w:rsidRDefault="005A594C" w:rsidP="005A594C">
      <w:pPr>
        <w:pStyle w:val="Notedebasdepage"/>
        <w:numPr>
          <w:ilvl w:val="0"/>
          <w:numId w:val="9"/>
        </w:numPr>
      </w:pPr>
      <w:r w:rsidRPr="005A594C">
        <w:t>L’identité du détenteur de la clé « privée » associée (tout ce qui est « verrouillé » avec une clé, ne peut-être « déverrouillé » qu’avec l’autre) ;</w:t>
      </w:r>
    </w:p>
    <w:p w:rsidR="005A594C" w:rsidRPr="005A594C" w:rsidRDefault="005A594C" w:rsidP="005A594C">
      <w:pPr>
        <w:pStyle w:val="Notedebasdepage"/>
        <w:numPr>
          <w:ilvl w:val="0"/>
          <w:numId w:val="9"/>
        </w:numPr>
      </w:pPr>
      <w:r w:rsidRPr="005A594C">
        <w:t>La signature d’une autorité de certification garantissant les informations ci-dessus.</w:t>
      </w:r>
    </w:p>
    <w:p w:rsidR="005A594C" w:rsidRDefault="005A594C">
      <w:pPr>
        <w:pStyle w:val="Notedebasdepage"/>
      </w:pPr>
    </w:p>
  </w:footnote>
  <w:footnote w:id="3">
    <w:p w:rsidR="00A80598" w:rsidRDefault="00A80598">
      <w:pPr>
        <w:pStyle w:val="Notedebasdepage"/>
      </w:pPr>
      <w:r>
        <w:rPr>
          <w:rStyle w:val="Appelnotedebasdep"/>
        </w:rPr>
        <w:footnoteRef/>
      </w:r>
      <w:r>
        <w:t xml:space="preserve"> La Banque de France accepte les certificats répondant à un niveau de qualité minimal, notamment les certificats référencés par le Comité Français d’Organisation et de Normalisation Bancaire (« multi-acceptance »). La Banque de France peut également fabriquer et délivrer des certificats sur </w:t>
      </w:r>
      <w:r w:rsidRPr="00E91FB1">
        <w:t>demande</w:t>
      </w:r>
      <w:r w:rsidR="0087476B" w:rsidRPr="00303B45">
        <w:t xml:space="preserve"> du mandataire de certificat de votre établissement.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>
    <w:nsid w:val="235A59D9"/>
    <w:multiLevelType w:val="hybridMultilevel"/>
    <w:tmpl w:val="4A7E3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F0E75AB"/>
    <w:multiLevelType w:val="hybridMultilevel"/>
    <w:tmpl w:val="D548A690"/>
    <w:lvl w:ilvl="0" w:tplc="040C000B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48CA377A"/>
    <w:multiLevelType w:val="hybridMultilevel"/>
    <w:tmpl w:val="0136CD8E"/>
    <w:lvl w:ilvl="0" w:tplc="D5663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60C0D"/>
    <w:multiLevelType w:val="hybridMultilevel"/>
    <w:tmpl w:val="4DE0F8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A3B65"/>
    <w:multiLevelType w:val="hybridMultilevel"/>
    <w:tmpl w:val="96F60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B9F6F08"/>
    <w:multiLevelType w:val="hybridMultilevel"/>
    <w:tmpl w:val="45A43060"/>
    <w:lvl w:ilvl="0" w:tplc="040C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471FE"/>
    <w:multiLevelType w:val="hybridMultilevel"/>
    <w:tmpl w:val="09881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B79A2"/>
    <w:multiLevelType w:val="hybridMultilevel"/>
    <w:tmpl w:val="8946C3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DA3CE3"/>
    <w:multiLevelType w:val="hybridMultilevel"/>
    <w:tmpl w:val="842E4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333B0"/>
    <w:multiLevelType w:val="hybridMultilevel"/>
    <w:tmpl w:val="34E21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13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93D0E"/>
    <w:rsid w:val="00000A14"/>
    <w:rsid w:val="00017290"/>
    <w:rsid w:val="000177D9"/>
    <w:rsid w:val="00033816"/>
    <w:rsid w:val="000730EB"/>
    <w:rsid w:val="00096692"/>
    <w:rsid w:val="00096F65"/>
    <w:rsid w:val="000B0226"/>
    <w:rsid w:val="000B0D57"/>
    <w:rsid w:val="000C3928"/>
    <w:rsid w:val="000F0451"/>
    <w:rsid w:val="00110232"/>
    <w:rsid w:val="001120D6"/>
    <w:rsid w:val="0012361A"/>
    <w:rsid w:val="0012413D"/>
    <w:rsid w:val="001562CC"/>
    <w:rsid w:val="00172AF1"/>
    <w:rsid w:val="00190073"/>
    <w:rsid w:val="001A775D"/>
    <w:rsid w:val="001B3572"/>
    <w:rsid w:val="001F0604"/>
    <w:rsid w:val="001F79A1"/>
    <w:rsid w:val="00200BCE"/>
    <w:rsid w:val="0020276A"/>
    <w:rsid w:val="002061FB"/>
    <w:rsid w:val="00220985"/>
    <w:rsid w:val="002755B9"/>
    <w:rsid w:val="00275B02"/>
    <w:rsid w:val="002833D4"/>
    <w:rsid w:val="002A74C6"/>
    <w:rsid w:val="002C318E"/>
    <w:rsid w:val="002C5746"/>
    <w:rsid w:val="00303B45"/>
    <w:rsid w:val="003517FD"/>
    <w:rsid w:val="00373749"/>
    <w:rsid w:val="003762A0"/>
    <w:rsid w:val="00384D4A"/>
    <w:rsid w:val="00386F9A"/>
    <w:rsid w:val="00392482"/>
    <w:rsid w:val="003A5485"/>
    <w:rsid w:val="003B5E46"/>
    <w:rsid w:val="003D17B5"/>
    <w:rsid w:val="003D36DB"/>
    <w:rsid w:val="003D5227"/>
    <w:rsid w:val="00411AB8"/>
    <w:rsid w:val="00421A8D"/>
    <w:rsid w:val="004A46F1"/>
    <w:rsid w:val="004A6226"/>
    <w:rsid w:val="004B1380"/>
    <w:rsid w:val="004E06D4"/>
    <w:rsid w:val="00515AAC"/>
    <w:rsid w:val="00584993"/>
    <w:rsid w:val="005A594C"/>
    <w:rsid w:val="005D35D7"/>
    <w:rsid w:val="005E64D8"/>
    <w:rsid w:val="0061247F"/>
    <w:rsid w:val="006157A3"/>
    <w:rsid w:val="006229A4"/>
    <w:rsid w:val="00671CC7"/>
    <w:rsid w:val="00673F04"/>
    <w:rsid w:val="00680F83"/>
    <w:rsid w:val="006A09DD"/>
    <w:rsid w:val="006A357F"/>
    <w:rsid w:val="006A606A"/>
    <w:rsid w:val="006F35C8"/>
    <w:rsid w:val="006F4596"/>
    <w:rsid w:val="006F6DA8"/>
    <w:rsid w:val="007045A2"/>
    <w:rsid w:val="00706D28"/>
    <w:rsid w:val="007433EA"/>
    <w:rsid w:val="00743516"/>
    <w:rsid w:val="00746A51"/>
    <w:rsid w:val="00784833"/>
    <w:rsid w:val="007A15AF"/>
    <w:rsid w:val="007A5270"/>
    <w:rsid w:val="007A62A9"/>
    <w:rsid w:val="007B52C6"/>
    <w:rsid w:val="007E65EB"/>
    <w:rsid w:val="00807217"/>
    <w:rsid w:val="00824765"/>
    <w:rsid w:val="00833CCA"/>
    <w:rsid w:val="0086091D"/>
    <w:rsid w:val="0087476B"/>
    <w:rsid w:val="008A2570"/>
    <w:rsid w:val="008D279B"/>
    <w:rsid w:val="008E0C6B"/>
    <w:rsid w:val="008F5EAD"/>
    <w:rsid w:val="0092465F"/>
    <w:rsid w:val="00962915"/>
    <w:rsid w:val="0096513A"/>
    <w:rsid w:val="00972056"/>
    <w:rsid w:val="00972EDC"/>
    <w:rsid w:val="009A4C63"/>
    <w:rsid w:val="009B59ED"/>
    <w:rsid w:val="009C6572"/>
    <w:rsid w:val="009E0698"/>
    <w:rsid w:val="009E66C7"/>
    <w:rsid w:val="00A16412"/>
    <w:rsid w:val="00A30D4C"/>
    <w:rsid w:val="00A32432"/>
    <w:rsid w:val="00A3312A"/>
    <w:rsid w:val="00A44D8C"/>
    <w:rsid w:val="00A47F07"/>
    <w:rsid w:val="00A51F3F"/>
    <w:rsid w:val="00A52D37"/>
    <w:rsid w:val="00A80598"/>
    <w:rsid w:val="00A90857"/>
    <w:rsid w:val="00A962F2"/>
    <w:rsid w:val="00A96DC6"/>
    <w:rsid w:val="00AB3EFF"/>
    <w:rsid w:val="00AD723F"/>
    <w:rsid w:val="00AE1112"/>
    <w:rsid w:val="00AE7179"/>
    <w:rsid w:val="00AF59A7"/>
    <w:rsid w:val="00B00ADC"/>
    <w:rsid w:val="00B128A3"/>
    <w:rsid w:val="00B3616D"/>
    <w:rsid w:val="00B46104"/>
    <w:rsid w:val="00B67F84"/>
    <w:rsid w:val="00B9112D"/>
    <w:rsid w:val="00BB72D3"/>
    <w:rsid w:val="00BC232F"/>
    <w:rsid w:val="00BD0F0E"/>
    <w:rsid w:val="00BD1076"/>
    <w:rsid w:val="00BD41B3"/>
    <w:rsid w:val="00C04D19"/>
    <w:rsid w:val="00C32A4E"/>
    <w:rsid w:val="00C45D04"/>
    <w:rsid w:val="00C54056"/>
    <w:rsid w:val="00C544BA"/>
    <w:rsid w:val="00C83D1A"/>
    <w:rsid w:val="00C85182"/>
    <w:rsid w:val="00C907EC"/>
    <w:rsid w:val="00C93D0E"/>
    <w:rsid w:val="00CA4BC5"/>
    <w:rsid w:val="00CB7F29"/>
    <w:rsid w:val="00CD695A"/>
    <w:rsid w:val="00CF05B2"/>
    <w:rsid w:val="00D0080A"/>
    <w:rsid w:val="00D0254D"/>
    <w:rsid w:val="00D40FAB"/>
    <w:rsid w:val="00D44612"/>
    <w:rsid w:val="00D62A29"/>
    <w:rsid w:val="00D92AD3"/>
    <w:rsid w:val="00D93398"/>
    <w:rsid w:val="00DC4481"/>
    <w:rsid w:val="00DD168C"/>
    <w:rsid w:val="00DE079C"/>
    <w:rsid w:val="00DE0902"/>
    <w:rsid w:val="00DE127C"/>
    <w:rsid w:val="00E400CE"/>
    <w:rsid w:val="00E91FB1"/>
    <w:rsid w:val="00E94C9B"/>
    <w:rsid w:val="00EB0F08"/>
    <w:rsid w:val="00EC4EAF"/>
    <w:rsid w:val="00ED55BF"/>
    <w:rsid w:val="00F2036E"/>
    <w:rsid w:val="00F22288"/>
    <w:rsid w:val="00F239A2"/>
    <w:rsid w:val="00FC0398"/>
    <w:rsid w:val="00FD0B54"/>
    <w:rsid w:val="00F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link w:val="Titre2Car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AB3EFF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="Arial"/>
      <w:b/>
      <w:color w:val="17365D" w:themeColor="text2" w:themeShade="BF"/>
      <w:spacing w:val="5"/>
      <w:kern w:val="28"/>
      <w:sz w:val="24"/>
      <w:szCs w:val="24"/>
    </w:rPr>
  </w:style>
  <w:style w:type="character" w:customStyle="1" w:styleId="TitreCar">
    <w:name w:val="Titre Car"/>
    <w:basedOn w:val="Policepardfaut"/>
    <w:link w:val="Titre"/>
    <w:rsid w:val="00AB3EFF"/>
    <w:rPr>
      <w:rFonts w:ascii="Arial" w:eastAsiaTheme="majorEastAsia" w:hAnsi="Arial" w:cs="Arial"/>
      <w:b/>
      <w:color w:val="17365D" w:themeColor="text2" w:themeShade="BF"/>
      <w:spacing w:val="5"/>
      <w:kern w:val="28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3D1A"/>
    <w:pPr>
      <w:ind w:left="720"/>
      <w:contextualSpacing/>
    </w:pPr>
  </w:style>
  <w:style w:type="character" w:styleId="Lienhypertexte">
    <w:name w:val="Hyperlink"/>
    <w:basedOn w:val="Policepardfaut"/>
    <w:rsid w:val="00275B0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A164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1641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F2036E"/>
    <w:rPr>
      <w:sz w:val="16"/>
      <w:szCs w:val="16"/>
    </w:rPr>
  </w:style>
  <w:style w:type="paragraph" w:styleId="Commentaire">
    <w:name w:val="annotation text"/>
    <w:basedOn w:val="Normal"/>
    <w:link w:val="CommentaireCar"/>
    <w:rsid w:val="00F2036E"/>
    <w:rPr>
      <w:sz w:val="20"/>
    </w:rPr>
  </w:style>
  <w:style w:type="character" w:customStyle="1" w:styleId="CommentaireCar">
    <w:name w:val="Commentaire Car"/>
    <w:basedOn w:val="Policepardfaut"/>
    <w:link w:val="Commentaire"/>
    <w:rsid w:val="00F2036E"/>
  </w:style>
  <w:style w:type="paragraph" w:styleId="Objetducommentaire">
    <w:name w:val="annotation subject"/>
    <w:basedOn w:val="Commentaire"/>
    <w:next w:val="Commentaire"/>
    <w:link w:val="ObjetducommentaireCar"/>
    <w:rsid w:val="00F203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2036E"/>
    <w:rPr>
      <w:b/>
      <w:bCs/>
    </w:rPr>
  </w:style>
  <w:style w:type="character" w:customStyle="1" w:styleId="Titre2Car">
    <w:name w:val="Titre 2 Car"/>
    <w:link w:val="Titre2"/>
    <w:rsid w:val="002833D4"/>
    <w:rPr>
      <w:rFonts w:ascii="Arial" w:hAnsi="Arial"/>
      <w:sz w:val="32"/>
    </w:rPr>
  </w:style>
  <w:style w:type="character" w:styleId="Lienhypertextesuivivisit">
    <w:name w:val="FollowedHyperlink"/>
    <w:basedOn w:val="Policepardfaut"/>
    <w:rsid w:val="00386F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link w:val="Titre2Car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AB3EFF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="Arial"/>
      <w:b/>
      <w:color w:val="17365D" w:themeColor="text2" w:themeShade="BF"/>
      <w:spacing w:val="5"/>
      <w:kern w:val="28"/>
      <w:sz w:val="24"/>
      <w:szCs w:val="24"/>
    </w:rPr>
  </w:style>
  <w:style w:type="character" w:customStyle="1" w:styleId="TitreCar">
    <w:name w:val="Titre Car"/>
    <w:basedOn w:val="Policepardfaut"/>
    <w:link w:val="Titre"/>
    <w:rsid w:val="00AB3EFF"/>
    <w:rPr>
      <w:rFonts w:ascii="Arial" w:eastAsiaTheme="majorEastAsia" w:hAnsi="Arial" w:cs="Arial"/>
      <w:b/>
      <w:color w:val="17365D" w:themeColor="text2" w:themeShade="BF"/>
      <w:spacing w:val="5"/>
      <w:kern w:val="28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3D1A"/>
    <w:pPr>
      <w:ind w:left="720"/>
      <w:contextualSpacing/>
    </w:pPr>
  </w:style>
  <w:style w:type="character" w:styleId="Lienhypertexte">
    <w:name w:val="Hyperlink"/>
    <w:basedOn w:val="Policepardfaut"/>
    <w:rsid w:val="00275B0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A164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1641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F2036E"/>
    <w:rPr>
      <w:sz w:val="16"/>
      <w:szCs w:val="16"/>
    </w:rPr>
  </w:style>
  <w:style w:type="paragraph" w:styleId="Commentaire">
    <w:name w:val="annotation text"/>
    <w:basedOn w:val="Normal"/>
    <w:link w:val="CommentaireCar"/>
    <w:rsid w:val="00F2036E"/>
    <w:rPr>
      <w:sz w:val="20"/>
    </w:rPr>
  </w:style>
  <w:style w:type="character" w:customStyle="1" w:styleId="CommentaireCar">
    <w:name w:val="Commentaire Car"/>
    <w:basedOn w:val="Policepardfaut"/>
    <w:link w:val="Commentaire"/>
    <w:rsid w:val="00F2036E"/>
  </w:style>
  <w:style w:type="paragraph" w:styleId="Objetducommentaire">
    <w:name w:val="annotation subject"/>
    <w:basedOn w:val="Commentaire"/>
    <w:next w:val="Commentaire"/>
    <w:link w:val="ObjetducommentaireCar"/>
    <w:rsid w:val="00F203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2036E"/>
    <w:rPr>
      <w:b/>
      <w:bCs/>
    </w:rPr>
  </w:style>
  <w:style w:type="character" w:customStyle="1" w:styleId="Titre2Car">
    <w:name w:val="Titre 2 Car"/>
    <w:link w:val="Titre2"/>
    <w:rsid w:val="002833D4"/>
    <w:rPr>
      <w:rFonts w:ascii="Arial" w:hAnsi="Arial"/>
      <w:sz w:val="32"/>
    </w:rPr>
  </w:style>
  <w:style w:type="character" w:styleId="Lienhypertextesuivivisit">
    <w:name w:val="FollowedHyperlink"/>
    <w:basedOn w:val="Policepardfaut"/>
    <w:rsid w:val="00386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1417-tltro-ut@banque-franc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C471-19C0-4086-9C47-A4D58CCC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1CD7B94D.dotm</Template>
  <TotalTime>6</TotalTime>
  <Pages>2</Pages>
  <Words>605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LUBRANO DI SCAMPAMORTE</dc:creator>
  <cp:lastModifiedBy>Julien DEJEAN</cp:lastModifiedBy>
  <cp:revision>5</cp:revision>
  <cp:lastPrinted>2012-08-03T11:05:00Z</cp:lastPrinted>
  <dcterms:created xsi:type="dcterms:W3CDTF">2014-08-06T22:10:00Z</dcterms:created>
  <dcterms:modified xsi:type="dcterms:W3CDTF">2014-08-07T12:45:00Z</dcterms:modified>
</cp:coreProperties>
</file>